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F98C5" w14:textId="367EC93B" w:rsidR="008E5AFD" w:rsidRDefault="00037C8B" w:rsidP="00037C8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8FAA33E" wp14:editId="283DA28C">
            <wp:simplePos x="0" y="0"/>
            <wp:positionH relativeFrom="column">
              <wp:posOffset>-633095</wp:posOffset>
            </wp:positionH>
            <wp:positionV relativeFrom="topMargin">
              <wp:posOffset>394970</wp:posOffset>
            </wp:positionV>
            <wp:extent cx="2381250" cy="619125"/>
            <wp:effectExtent l="0" t="0" r="0" b="9525"/>
            <wp:wrapTight wrapText="bothSides">
              <wp:wrapPolygon edited="0">
                <wp:start x="1728" y="0"/>
                <wp:lineTo x="864" y="2658"/>
                <wp:lineTo x="0" y="7311"/>
                <wp:lineTo x="0" y="13957"/>
                <wp:lineTo x="1210" y="20603"/>
                <wp:lineTo x="1728" y="21268"/>
                <wp:lineTo x="3802" y="21268"/>
                <wp:lineTo x="21427" y="19938"/>
                <wp:lineTo x="21427" y="5982"/>
                <wp:lineTo x="20736" y="4652"/>
                <wp:lineTo x="16243" y="0"/>
                <wp:lineTo x="1728" y="0"/>
              </wp:wrapPolygon>
            </wp:wrapTight>
            <wp:docPr id="1" name="Image 3" descr="Une image contenant Police, Graphiqu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Une image contenant Police, Graphique, logo, capture d’écra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B71B8" w14:textId="77777777" w:rsidR="00037C8B" w:rsidRDefault="00037C8B" w:rsidP="00EB1A7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91ABB1" w14:textId="37F0E203" w:rsidR="00EB1A7F" w:rsidRPr="00855350" w:rsidRDefault="00EB1A7F" w:rsidP="00EB1A7F">
      <w:pPr>
        <w:jc w:val="center"/>
        <w:rPr>
          <w:rFonts w:asciiTheme="majorHAnsi" w:hAnsiTheme="majorHAnsi" w:cstheme="majorHAnsi"/>
          <w:sz w:val="28"/>
          <w:szCs w:val="28"/>
        </w:rPr>
      </w:pPr>
      <w:r w:rsidRPr="00855350">
        <w:rPr>
          <w:rFonts w:asciiTheme="majorHAnsi" w:hAnsiTheme="majorHAnsi" w:cstheme="majorHAnsi"/>
          <w:sz w:val="28"/>
          <w:szCs w:val="28"/>
        </w:rPr>
        <w:t xml:space="preserve">Ne brûlez </w:t>
      </w:r>
      <w:r>
        <w:rPr>
          <w:rFonts w:asciiTheme="majorHAnsi" w:hAnsiTheme="majorHAnsi" w:cstheme="majorHAnsi"/>
          <w:sz w:val="28"/>
          <w:szCs w:val="28"/>
        </w:rPr>
        <w:t>pa</w:t>
      </w:r>
      <w:r w:rsidRPr="00855350">
        <w:rPr>
          <w:rFonts w:asciiTheme="majorHAnsi" w:hAnsiTheme="majorHAnsi" w:cstheme="majorHAnsi"/>
          <w:sz w:val="28"/>
          <w:szCs w:val="28"/>
        </w:rPr>
        <w:t>s vos déchets verts, c’est interdit et dangereux pour la santé</w:t>
      </w:r>
    </w:p>
    <w:p w14:paraId="7074A341" w14:textId="77777777" w:rsidR="00EB1A7F" w:rsidRPr="00855350" w:rsidRDefault="00EB1A7F" w:rsidP="00EB1A7F">
      <w:pPr>
        <w:jc w:val="both"/>
        <w:rPr>
          <w:rFonts w:asciiTheme="majorHAnsi" w:hAnsiTheme="majorHAnsi" w:cstheme="majorHAnsi"/>
        </w:rPr>
      </w:pPr>
    </w:p>
    <w:p w14:paraId="45A7DB7D" w14:textId="2785AC6C"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55350">
        <w:rPr>
          <w:rFonts w:asciiTheme="majorHAnsi" w:hAnsiTheme="majorHAnsi" w:cstheme="majorHAnsi"/>
          <w:sz w:val="24"/>
          <w:szCs w:val="24"/>
          <w:u w:val="single"/>
        </w:rPr>
        <w:t>Une interdiction règlementaire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55350">
        <w:rPr>
          <w:rFonts w:asciiTheme="majorHAnsi" w:hAnsiTheme="majorHAnsi" w:cstheme="majorHAnsi"/>
          <w:sz w:val="24"/>
          <w:szCs w:val="24"/>
          <w:u w:val="single"/>
        </w:rPr>
        <w:t>: rappel des obligations</w:t>
      </w:r>
    </w:p>
    <w:p w14:paraId="46E48D44" w14:textId="34704577" w:rsidR="00EB1A7F" w:rsidRPr="00855350" w:rsidRDefault="00EB1A7F" w:rsidP="00EB1A7F">
      <w:pPr>
        <w:jc w:val="both"/>
        <w:rPr>
          <w:rFonts w:asciiTheme="majorHAnsi" w:eastAsia="Times New Roman" w:hAnsiTheme="majorHAnsi" w:cstheme="majorHAnsi"/>
          <w:kern w:val="0"/>
          <w:lang w:eastAsia="fr-FR"/>
          <w14:ligatures w14:val="none"/>
        </w:rPr>
      </w:pPr>
      <w:r>
        <w:rPr>
          <w:rFonts w:asciiTheme="majorHAnsi" w:hAnsiTheme="majorHAnsi" w:cstheme="majorHAnsi"/>
        </w:rPr>
        <w:t xml:space="preserve">Le brûlage des déchets vert est interdit pour les particuliers depuis 1978. </w:t>
      </w:r>
      <w:r w:rsidRPr="00855350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 xml:space="preserve">Isère, en complément de la règle nationale, l’arrêté préfectoral </w:t>
      </w:r>
      <w:r w:rsidRPr="00491FAE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n° 2013-322-0020 du 18 novembre 2013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</w:t>
      </w:r>
      <w:r w:rsidRPr="00491FAE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instaure </w:t>
      </w:r>
      <w:r w:rsidRPr="00491FAE">
        <w:rPr>
          <w:rFonts w:asciiTheme="majorHAnsi" w:eastAsia="Times New Roman" w:hAnsiTheme="majorHAnsi" w:cstheme="majorHAnsi"/>
          <w:b/>
          <w:bCs/>
          <w:kern w:val="0"/>
          <w:lang w:eastAsia="fr-FR"/>
          <w14:ligatures w14:val="none"/>
        </w:rPr>
        <w:t>LE PRINCIPE GÉNÉRAL D</w:t>
      </w:r>
      <w:r w:rsidRPr="00491FAE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’</w:t>
      </w:r>
      <w:r w:rsidRPr="00491FAE">
        <w:rPr>
          <w:rFonts w:asciiTheme="majorHAnsi" w:eastAsia="Times New Roman" w:hAnsiTheme="majorHAnsi" w:cstheme="majorHAnsi"/>
          <w:b/>
          <w:bCs/>
          <w:kern w:val="0"/>
          <w:lang w:eastAsia="fr-FR"/>
          <w14:ligatures w14:val="none"/>
        </w:rPr>
        <w:t xml:space="preserve">INTERDICTION DU BRÛLAGE </w:t>
      </w:r>
      <w:r w:rsidRPr="00491FAE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à l’air libre des déchets verts, même pour les communes rurales.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Par déchets verts, nous entendons l’h</w:t>
      </w:r>
      <w:r w:rsidRPr="00EB1A7F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erbe après tonte de pelouse, les feuilles mortes, les résidus de taille de haies et arbustes, les résidus de débroussaillage, mais aussi les épluchures de fruits et légumes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.</w:t>
      </w:r>
    </w:p>
    <w:p w14:paraId="184D977D" w14:textId="77777777" w:rsidR="00EB1A7F" w:rsidRPr="00855350" w:rsidRDefault="00EB1A7F" w:rsidP="00EB1A7F">
      <w:pPr>
        <w:pStyle w:val="Default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  <w14:ligatures w14:val="none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 contrevenant qui pratique le brûlage à l’air libre de déchets verts s’expose à une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 xml:space="preserve">amende de </w:t>
      </w:r>
      <w:r>
        <w:rPr>
          <w:rFonts w:asciiTheme="majorHAnsi" w:hAnsiTheme="majorHAnsi" w:cstheme="majorHAnsi"/>
          <w:b/>
          <w:bCs/>
          <w:sz w:val="22"/>
          <w:szCs w:val="22"/>
        </w:rPr>
        <w:t>classe 4 s’élevant à 7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50 €</w:t>
      </w:r>
      <w:r w:rsidRPr="00855350">
        <w:rPr>
          <w:rFonts w:asciiTheme="majorHAnsi" w:hAnsiTheme="majorHAnsi" w:cstheme="majorHAnsi"/>
          <w:sz w:val="22"/>
          <w:szCs w:val="22"/>
        </w:rPr>
        <w:t>. Dans le cadre de ses pouvoirs de police, le maire est chargé de faire respecter ces dispositions dans sa commune.</w:t>
      </w:r>
      <w:r w:rsidRPr="00855350">
        <w:rPr>
          <w:rFonts w:asciiTheme="majorHAnsi" w:eastAsia="Times New Roman" w:hAnsiTheme="majorHAnsi" w:cstheme="majorHAnsi"/>
          <w:sz w:val="22"/>
          <w:szCs w:val="22"/>
          <w:lang w:eastAsia="fr-FR"/>
          <w14:ligatures w14:val="none"/>
        </w:rPr>
        <w:t xml:space="preserve"> </w:t>
      </w:r>
    </w:p>
    <w:p w14:paraId="73B94F6E" w14:textId="77777777" w:rsidR="00EB1A7F" w:rsidRPr="00855350" w:rsidRDefault="00EB1A7F" w:rsidP="00EB1A7F">
      <w:pPr>
        <w:jc w:val="both"/>
        <w:rPr>
          <w:rFonts w:asciiTheme="majorHAnsi" w:hAnsiTheme="majorHAnsi" w:cstheme="majorHAnsi"/>
        </w:rPr>
      </w:pPr>
    </w:p>
    <w:p w14:paraId="27291192" w14:textId="77777777"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Le brûlage des déchets verts nuit gravement à la </w:t>
      </w:r>
      <w:r w:rsidRPr="00855350">
        <w:rPr>
          <w:rFonts w:asciiTheme="majorHAnsi" w:hAnsiTheme="majorHAnsi" w:cstheme="majorHAnsi"/>
          <w:sz w:val="24"/>
          <w:szCs w:val="24"/>
          <w:u w:val="single"/>
        </w:rPr>
        <w:t xml:space="preserve">santé </w:t>
      </w:r>
    </w:p>
    <w:p w14:paraId="58AD340A" w14:textId="38276629" w:rsidR="00EB1A7F" w:rsidRPr="00EB1A7F" w:rsidRDefault="00EB1A7F" w:rsidP="00EB1A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lang w:eastAsia="fr-FR"/>
          <w14:ligatures w14:val="none"/>
        </w:rPr>
      </w:pPr>
      <w:r>
        <w:rPr>
          <w:rFonts w:asciiTheme="majorHAnsi" w:hAnsiTheme="majorHAnsi" w:cstheme="majorHAnsi"/>
        </w:rPr>
        <w:t>Pourquoi est-ce interdit ? Brûler</w:t>
      </w: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ses </w:t>
      </w:r>
      <w:r w:rsidRPr="00855350">
        <w:rPr>
          <w:rFonts w:asciiTheme="majorHAnsi" w:hAnsiTheme="majorHAnsi" w:cstheme="majorHAnsi"/>
        </w:rPr>
        <w:t>végétaux</w:t>
      </w:r>
      <w:r>
        <w:rPr>
          <w:rFonts w:asciiTheme="majorHAnsi" w:hAnsiTheme="majorHAnsi" w:cstheme="majorHAnsi"/>
        </w:rPr>
        <w:t xml:space="preserve"> </w:t>
      </w:r>
      <w:r w:rsidRPr="00855350">
        <w:rPr>
          <w:rFonts w:asciiTheme="majorHAnsi" w:hAnsiTheme="majorHAnsi" w:cstheme="majorHAnsi"/>
        </w:rPr>
        <w:t>à l’air libre</w:t>
      </w:r>
      <w:r>
        <w:rPr>
          <w:rFonts w:asciiTheme="majorHAnsi" w:hAnsiTheme="majorHAnsi" w:cstheme="majorHAnsi"/>
        </w:rPr>
        <w:t>,</w:t>
      </w: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raison d’une mauvaise combustion due à l’humidité, </w:t>
      </w:r>
      <w:r w:rsidRPr="00855350">
        <w:rPr>
          <w:rFonts w:asciiTheme="majorHAnsi" w:hAnsiTheme="majorHAnsi" w:cstheme="majorHAnsi"/>
        </w:rPr>
        <w:t xml:space="preserve">est </w:t>
      </w:r>
      <w:r w:rsidRPr="00011E8E">
        <w:rPr>
          <w:rFonts w:asciiTheme="majorHAnsi" w:hAnsiTheme="majorHAnsi" w:cstheme="majorHAnsi"/>
        </w:rPr>
        <w:t>fortement émetteur de polluants</w:t>
      </w:r>
      <w:r w:rsidRPr="00855350">
        <w:rPr>
          <w:rFonts w:asciiTheme="majorHAnsi" w:hAnsiTheme="majorHAnsi" w:cstheme="majorHAnsi"/>
          <w:b/>
          <w:bCs/>
        </w:rPr>
        <w:t xml:space="preserve"> </w:t>
      </w:r>
      <w:r w:rsidRPr="00855350">
        <w:rPr>
          <w:rFonts w:asciiTheme="majorHAnsi" w:hAnsiTheme="majorHAnsi" w:cstheme="majorHAnsi"/>
        </w:rPr>
        <w:t xml:space="preserve">: particules, hydrocarbures polycycliques, dioxines et furanes. Outre la </w:t>
      </w:r>
      <w:r w:rsidRPr="00855350">
        <w:rPr>
          <w:rFonts w:asciiTheme="majorHAnsi" w:hAnsiTheme="majorHAnsi" w:cstheme="majorHAnsi"/>
          <w:b/>
          <w:bCs/>
        </w:rPr>
        <w:t xml:space="preserve">gêne pour le voisinage </w:t>
      </w:r>
      <w:r w:rsidRPr="00855350">
        <w:rPr>
          <w:rFonts w:asciiTheme="majorHAnsi" w:hAnsiTheme="majorHAnsi" w:cstheme="majorHAnsi"/>
        </w:rPr>
        <w:t xml:space="preserve">et les </w:t>
      </w:r>
      <w:r w:rsidRPr="002B3634">
        <w:rPr>
          <w:rFonts w:asciiTheme="majorHAnsi" w:hAnsiTheme="majorHAnsi" w:cstheme="majorHAnsi"/>
          <w:b/>
          <w:bCs/>
        </w:rPr>
        <w:t>risques d’incendie</w:t>
      </w:r>
      <w:r w:rsidRPr="00855350">
        <w:rPr>
          <w:rFonts w:asciiTheme="majorHAnsi" w:hAnsiTheme="majorHAnsi" w:cstheme="majorHAnsi"/>
        </w:rPr>
        <w:t xml:space="preserve"> qu’elle engendre, cette activité contribue à la </w:t>
      </w:r>
      <w:r w:rsidRPr="002B3634">
        <w:rPr>
          <w:rFonts w:asciiTheme="majorHAnsi" w:hAnsiTheme="majorHAnsi" w:cstheme="majorHAnsi"/>
          <w:b/>
          <w:bCs/>
        </w:rPr>
        <w:t>dégradation de la qualité de l’air</w:t>
      </w:r>
      <w:r w:rsidR="00282D12">
        <w:rPr>
          <w:rFonts w:asciiTheme="majorHAnsi" w:hAnsiTheme="majorHAnsi" w:cstheme="majorHAnsi"/>
          <w:b/>
          <w:bCs/>
        </w:rPr>
        <w:t>, à la contamination des potagers et œufs des poulaillers environnants</w:t>
      </w:r>
      <w:r w:rsidRPr="00855350">
        <w:rPr>
          <w:rFonts w:asciiTheme="majorHAnsi" w:hAnsiTheme="majorHAnsi" w:cstheme="majorHAnsi"/>
        </w:rPr>
        <w:t xml:space="preserve"> et génère des </w:t>
      </w:r>
      <w:r w:rsidRPr="00011E8E">
        <w:rPr>
          <w:rFonts w:asciiTheme="majorHAnsi" w:hAnsiTheme="majorHAnsi" w:cstheme="majorHAnsi"/>
          <w:b/>
          <w:bCs/>
        </w:rPr>
        <w:t>conséquences sanitaires pouvant s’avérer graves</w:t>
      </w:r>
      <w:r w:rsidRPr="0085535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D’autant plus que ce n’est pas une pratique marginale. Selon une étude de l’ADEME, 15% des personnes interrogées déclarent brûler leurs déchets verts au moins une fois par an, soit la quantité de 830 tonnes </w:t>
      </w:r>
      <w:r w:rsidR="0022091A">
        <w:rPr>
          <w:rFonts w:asciiTheme="majorHAnsi" w:hAnsiTheme="majorHAnsi" w:cstheme="majorHAnsi"/>
        </w:rPr>
        <w:t>chaque année</w:t>
      </w:r>
      <w:r>
        <w:rPr>
          <w:rFonts w:asciiTheme="majorHAnsi" w:hAnsiTheme="majorHAnsi" w:cstheme="majorHAnsi"/>
        </w:rPr>
        <w:t xml:space="preserve">. 6% des émissions annuelles de particules fines PM2,5 du secteur résidentiel sont dues au seul brûlage. 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Pour illustrer ces effets polluants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, 50 kg de végétaux verts 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brûlés 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dégage</w:t>
      </w:r>
      <w:r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nt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autant de particules nocives </w:t>
      </w:r>
      <w:r w:rsidRPr="00855350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qu’une voiture récente qui parcourt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</w:t>
      </w:r>
      <w:r w:rsidR="00A70C74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34</w:t>
      </w:r>
      <w:r w:rsidR="0022091A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000 km</w:t>
      </w:r>
      <w:r w:rsidRPr="00855350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>.</w:t>
      </w:r>
      <w:r w:rsidRPr="00962213">
        <w:rPr>
          <w:rFonts w:asciiTheme="majorHAnsi" w:eastAsia="Times New Roman" w:hAnsiTheme="majorHAnsi" w:cstheme="majorHAnsi"/>
          <w:kern w:val="0"/>
          <w:lang w:eastAsia="fr-FR"/>
          <w14:ligatures w14:val="none"/>
        </w:rPr>
        <w:t xml:space="preserve"> </w:t>
      </w:r>
    </w:p>
    <w:p w14:paraId="7A7B5086" w14:textId="77777777" w:rsidR="002C5FF3" w:rsidRDefault="002C5FF3" w:rsidP="002C5FF3">
      <w:pPr>
        <w:pStyle w:val="paragraph"/>
        <w:jc w:val="both"/>
        <w:textAlignment w:val="baseline"/>
      </w:pPr>
      <w:r>
        <w:rPr>
          <w:rFonts w:asciiTheme="majorHAnsi" w:hAnsiTheme="majorHAnsi" w:cstheme="majorHAnsi"/>
          <w:sz w:val="22"/>
          <w:szCs w:val="22"/>
        </w:rPr>
        <w:t>Or, il faut savoir qu’en France,</w:t>
      </w:r>
      <w:r w:rsidRPr="00855350">
        <w:rPr>
          <w:rFonts w:asciiTheme="majorHAnsi" w:hAnsiTheme="majorHAnsi" w:cstheme="majorHAnsi"/>
          <w:sz w:val="22"/>
          <w:szCs w:val="22"/>
        </w:rPr>
        <w:t xml:space="preserve"> </w:t>
      </w:r>
      <w:r w:rsidRPr="00A95D0B">
        <w:rPr>
          <w:rFonts w:asciiTheme="majorHAnsi" w:hAnsiTheme="majorHAnsi" w:cstheme="majorHAnsi"/>
          <w:sz w:val="22"/>
          <w:szCs w:val="22"/>
        </w:rPr>
        <w:t xml:space="preserve">la pollution de l’air d’origine </w:t>
      </w:r>
      <w:r>
        <w:rPr>
          <w:rFonts w:asciiTheme="majorHAnsi" w:hAnsiTheme="majorHAnsi" w:cstheme="majorHAnsi"/>
          <w:sz w:val="22"/>
          <w:szCs w:val="22"/>
        </w:rPr>
        <w:t>humaine</w:t>
      </w:r>
      <w:r w:rsidRPr="00A95D0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cause </w:t>
      </w:r>
      <w:r w:rsidRPr="00A95D0B">
        <w:rPr>
          <w:rFonts w:asciiTheme="majorHAnsi" w:hAnsiTheme="majorHAnsi" w:cstheme="majorHAnsi"/>
          <w:sz w:val="22"/>
          <w:szCs w:val="22"/>
        </w:rPr>
        <w:t>une perte d’espérance de vie en moyenne estimée à 9 mois et de 4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A95D0B">
        <w:rPr>
          <w:rFonts w:asciiTheme="majorHAnsi" w:hAnsiTheme="majorHAnsi" w:cstheme="majorHAnsi"/>
          <w:sz w:val="22"/>
          <w:szCs w:val="22"/>
        </w:rPr>
        <w:t xml:space="preserve"> 000 décès prématurés par an</w:t>
      </w:r>
      <w:r>
        <w:rPr>
          <w:rFonts w:asciiTheme="majorHAnsi" w:hAnsiTheme="majorHAnsi" w:cstheme="majorHAnsi"/>
          <w:sz w:val="22"/>
          <w:szCs w:val="22"/>
        </w:rPr>
        <w:t xml:space="preserve">, soit </w:t>
      </w:r>
      <w:r w:rsidRPr="00771097">
        <w:rPr>
          <w:rFonts w:asciiTheme="majorHAnsi" w:hAnsiTheme="majorHAnsi" w:cstheme="majorHAnsi"/>
          <w:sz w:val="22"/>
          <w:szCs w:val="22"/>
        </w:rPr>
        <w:t>7% de la mortalité - 3ème cause de mortalité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 xml:space="preserve">en France </w:t>
      </w:r>
      <w:r w:rsidRPr="00A95D0B">
        <w:rPr>
          <w:rFonts w:asciiTheme="majorHAnsi" w:hAnsiTheme="majorHAnsi" w:cstheme="majorHAnsi"/>
          <w:sz w:val="22"/>
          <w:szCs w:val="22"/>
        </w:rPr>
        <w:t>(étude de Santé Publique France).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D09A0F" w14:textId="77777777" w:rsidR="00153ACC" w:rsidRPr="00153ACC" w:rsidRDefault="00153ACC" w:rsidP="00153AC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B90E6BF" w14:textId="3F9C2D8E"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55350">
        <w:rPr>
          <w:rFonts w:asciiTheme="majorHAnsi" w:hAnsiTheme="majorHAnsi" w:cstheme="majorHAnsi"/>
          <w:sz w:val="24"/>
          <w:szCs w:val="24"/>
          <w:u w:val="single"/>
        </w:rPr>
        <w:t>Des solutions alternatives existent</w:t>
      </w:r>
      <w:r>
        <w:rPr>
          <w:rFonts w:asciiTheme="majorHAnsi" w:hAnsiTheme="majorHAnsi" w:cstheme="majorHAnsi"/>
          <w:sz w:val="24"/>
          <w:szCs w:val="24"/>
          <w:u w:val="single"/>
        </w:rPr>
        <w:t> : faites de vos déchets verts une vraie ressource</w:t>
      </w:r>
    </w:p>
    <w:p w14:paraId="43CCD182" w14:textId="77777777" w:rsidR="00EB1A7F" w:rsidRPr="00855350" w:rsidRDefault="00EB1A7F" w:rsidP="00EB1A7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38E4CB5" w14:textId="77777777" w:rsidR="00EB1A7F" w:rsidRPr="00855350" w:rsidRDefault="00EB1A7F" w:rsidP="00EB1A7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complément du </w:t>
      </w:r>
      <w:proofErr w:type="spellStart"/>
      <w:r>
        <w:rPr>
          <w:rFonts w:asciiTheme="majorHAnsi" w:hAnsiTheme="majorHAnsi" w:cstheme="majorHAnsi"/>
        </w:rPr>
        <w:t>mulching</w:t>
      </w:r>
      <w:proofErr w:type="spellEnd"/>
      <w:r>
        <w:rPr>
          <w:rFonts w:asciiTheme="majorHAnsi" w:hAnsiTheme="majorHAnsi" w:cstheme="majorHAnsi"/>
        </w:rPr>
        <w:t>, qui consiste à laisser ses tontes de gazon sur place, l</w:t>
      </w:r>
      <w:r w:rsidRPr="00855350">
        <w:rPr>
          <w:rFonts w:asciiTheme="majorHAnsi" w:hAnsiTheme="majorHAnsi" w:cstheme="majorHAnsi"/>
        </w:rPr>
        <w:t xml:space="preserve">es déchets de jardin et de tontes peuvent être </w:t>
      </w:r>
      <w:r w:rsidRPr="00855350">
        <w:rPr>
          <w:rFonts w:asciiTheme="majorHAnsi" w:hAnsiTheme="majorHAnsi" w:cstheme="majorHAnsi"/>
          <w:b/>
          <w:bCs/>
        </w:rPr>
        <w:t>compostés</w:t>
      </w:r>
      <w:r w:rsidRPr="00855350">
        <w:rPr>
          <w:rFonts w:asciiTheme="majorHAnsi" w:hAnsiTheme="majorHAnsi" w:cstheme="majorHAnsi"/>
        </w:rPr>
        <w:t xml:space="preserve"> et fournir un engrais de bonne qualité. Le </w:t>
      </w:r>
      <w:proofErr w:type="spellStart"/>
      <w:r w:rsidRPr="00855350">
        <w:rPr>
          <w:rFonts w:asciiTheme="majorHAnsi" w:hAnsiTheme="majorHAnsi" w:cstheme="majorHAnsi"/>
        </w:rPr>
        <w:t>Syclum</w:t>
      </w:r>
      <w:proofErr w:type="spellEnd"/>
      <w:r w:rsidRPr="00855350">
        <w:rPr>
          <w:rFonts w:asciiTheme="majorHAnsi" w:hAnsiTheme="majorHAnsi" w:cstheme="majorHAnsi"/>
        </w:rPr>
        <w:t xml:space="preserve"> propose à la vente des composteurs en bois du Haut-Jura à partir de 30 €, ainsi que des formations pour maîtriser l’art du compostage</w:t>
      </w:r>
      <w:r>
        <w:rPr>
          <w:rFonts w:asciiTheme="majorHAnsi" w:hAnsiTheme="majorHAnsi" w:cstheme="majorHAnsi"/>
        </w:rPr>
        <w:t>.</w:t>
      </w:r>
    </w:p>
    <w:p w14:paraId="2521857C" w14:textId="77777777" w:rsidR="00EB1A7F" w:rsidRDefault="00EB1A7F" w:rsidP="00EB1A7F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Les déchets de jardin et de tontes peuvent être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broyés</w:t>
      </w:r>
      <w:r w:rsidRPr="00855350">
        <w:rPr>
          <w:rFonts w:asciiTheme="majorHAnsi" w:hAnsiTheme="majorHAnsi" w:cstheme="majorHAnsi"/>
          <w:sz w:val="22"/>
          <w:szCs w:val="22"/>
        </w:rPr>
        <w:t xml:space="preserve">, le paillage contribuant à protéger le sol. Il évite le développement des mauvaises herbes, crée une rétention d’humidité et fertilise le sol. </w:t>
      </w:r>
    </w:p>
    <w:p w14:paraId="5DF1603F" w14:textId="77777777" w:rsidR="00037C8B" w:rsidRDefault="00EB1A7F" w:rsidP="00037C8B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 </w:t>
      </w:r>
      <w:proofErr w:type="spellStart"/>
      <w:r w:rsidRPr="00855350">
        <w:rPr>
          <w:rFonts w:asciiTheme="majorHAnsi" w:hAnsiTheme="majorHAnsi" w:cstheme="majorHAnsi"/>
          <w:sz w:val="22"/>
          <w:szCs w:val="22"/>
        </w:rPr>
        <w:t>Syclum</w:t>
      </w:r>
      <w:proofErr w:type="spellEnd"/>
      <w:r w:rsidRPr="00855350">
        <w:rPr>
          <w:rFonts w:asciiTheme="majorHAnsi" w:hAnsiTheme="majorHAnsi" w:cstheme="majorHAnsi"/>
          <w:sz w:val="22"/>
          <w:szCs w:val="22"/>
        </w:rPr>
        <w:t xml:space="preserve"> propose aux particuliers </w:t>
      </w:r>
      <w:r>
        <w:rPr>
          <w:rFonts w:asciiTheme="majorHAnsi" w:hAnsiTheme="majorHAnsi" w:cstheme="majorHAnsi"/>
          <w:sz w:val="22"/>
          <w:szCs w:val="22"/>
        </w:rPr>
        <w:t xml:space="preserve">le </w:t>
      </w:r>
      <w:r w:rsidRPr="008E3433">
        <w:rPr>
          <w:rFonts w:asciiTheme="majorHAnsi" w:hAnsiTheme="majorHAnsi" w:cstheme="majorHAnsi"/>
          <w:b/>
          <w:bCs/>
          <w:sz w:val="22"/>
          <w:szCs w:val="22"/>
        </w:rPr>
        <w:t>prêt gratuit d’un broyeur</w:t>
      </w:r>
      <w:r w:rsidRPr="00855350">
        <w:rPr>
          <w:rFonts w:asciiTheme="majorHAnsi" w:hAnsiTheme="majorHAnsi" w:cstheme="majorHAnsi"/>
          <w:sz w:val="22"/>
          <w:szCs w:val="22"/>
        </w:rPr>
        <w:t xml:space="preserve">. Si vous souhaitez en faire l’acquisition, en mutualisant l’achat d’un broyeur de branchages à 2 foyers, 3, 4, 5 et plus, vous </w:t>
      </w:r>
      <w:r w:rsidRPr="00855350">
        <w:rPr>
          <w:rFonts w:asciiTheme="majorHAnsi" w:hAnsiTheme="majorHAnsi" w:cstheme="majorHAnsi"/>
          <w:sz w:val="22"/>
          <w:szCs w:val="22"/>
        </w:rPr>
        <w:lastRenderedPageBreak/>
        <w:t xml:space="preserve">pouvez bénéficier d’une </w:t>
      </w:r>
      <w:r w:rsidRPr="00855350">
        <w:rPr>
          <w:rStyle w:val="lev"/>
          <w:rFonts w:asciiTheme="majorHAnsi" w:hAnsiTheme="majorHAnsi" w:cstheme="majorHAnsi"/>
          <w:sz w:val="22"/>
          <w:szCs w:val="22"/>
        </w:rPr>
        <w:t>subvention à l’achat allant de 25% à 40% du prix d’achat TTC</w:t>
      </w:r>
      <w:r w:rsidRPr="00855350">
        <w:rPr>
          <w:rFonts w:asciiTheme="majorHAnsi" w:hAnsiTheme="majorHAnsi" w:cstheme="majorHAnsi"/>
          <w:sz w:val="22"/>
          <w:szCs w:val="22"/>
        </w:rPr>
        <w:t xml:space="preserve">, selon le nombre de </w:t>
      </w:r>
      <w:proofErr w:type="spellStart"/>
      <w:r w:rsidRPr="00855350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Pr="00855350">
        <w:rPr>
          <w:rFonts w:asciiTheme="majorHAnsi" w:hAnsiTheme="majorHAnsi" w:cstheme="majorHAnsi"/>
          <w:sz w:val="22"/>
          <w:szCs w:val="22"/>
        </w:rPr>
        <w:t>-acheteurs (plafonnée à 500€).</w:t>
      </w:r>
    </w:p>
    <w:p w14:paraId="2AC03074" w14:textId="77777777" w:rsidR="009A3242" w:rsidRDefault="009A3242" w:rsidP="0020622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3E48BF9" w14:textId="48E2400E" w:rsidR="00EB1A7F" w:rsidRPr="00855350" w:rsidRDefault="00EB1A7F" w:rsidP="0020622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Qu’ils soient broyés ou compostés, le déchet se transforme ainsi en ressource organique pour les jardins (pourquoi aller acheter du paillage ?).  </w:t>
      </w:r>
    </w:p>
    <w:p w14:paraId="21DAB776" w14:textId="77777777" w:rsidR="00EB1A7F" w:rsidRPr="00855350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EBCE1D6" w14:textId="2F8E7374" w:rsidR="00EB1A7F" w:rsidRPr="00A35BEE" w:rsidRDefault="00EB1A7F" w:rsidP="00EB1A7F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Les déchets de jardin et de tontes peuvent </w:t>
      </w:r>
      <w:r w:rsidR="008E3433">
        <w:rPr>
          <w:rFonts w:asciiTheme="majorHAnsi" w:hAnsiTheme="majorHAnsi" w:cstheme="majorHAnsi"/>
          <w:sz w:val="22"/>
          <w:szCs w:val="22"/>
        </w:rPr>
        <w:t xml:space="preserve">aussi </w:t>
      </w:r>
      <w:r w:rsidRPr="00855350">
        <w:rPr>
          <w:rFonts w:asciiTheme="majorHAnsi" w:hAnsiTheme="majorHAnsi" w:cstheme="majorHAnsi"/>
          <w:sz w:val="22"/>
          <w:szCs w:val="22"/>
        </w:rPr>
        <w:t xml:space="preserve">être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apportés en déchetteries.</w:t>
      </w:r>
    </w:p>
    <w:p w14:paraId="0F30C2E2" w14:textId="77777777" w:rsidR="00EB1A7F" w:rsidRDefault="00EB1A7F" w:rsidP="00EB1A7F">
      <w:pPr>
        <w:pStyle w:val="Paragraphedeliste"/>
        <w:rPr>
          <w:rFonts w:asciiTheme="majorHAnsi" w:hAnsiTheme="majorHAnsi" w:cstheme="majorHAnsi"/>
        </w:rPr>
      </w:pPr>
    </w:p>
    <w:p w14:paraId="5CB12068" w14:textId="77777777" w:rsidR="00EB1A7F" w:rsidRDefault="00EB1A7F" w:rsidP="00EB1A7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prévention, le choix de petits arbustes ou de végétaux à croissance lente est aussi une solution alternative à mettre en œuvre </w:t>
      </w:r>
    </w:p>
    <w:p w14:paraId="12351A7D" w14:textId="77777777" w:rsidR="00EB1A7F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Pour plus d’informations : </w:t>
      </w:r>
      <w:hyperlink r:id="rId8" w:history="1">
        <w:r w:rsidRPr="00BB2A7F">
          <w:rPr>
            <w:rStyle w:val="Lienhypertexte"/>
            <w:rFonts w:asciiTheme="majorHAnsi" w:hAnsiTheme="majorHAnsi" w:cstheme="majorHAnsi"/>
            <w:sz w:val="22"/>
            <w:szCs w:val="22"/>
          </w:rPr>
          <w:t>www.syclum.fr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45E5AF" w14:textId="77777777" w:rsidR="00EB1A7F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9C68FB3" w14:textId="77777777" w:rsidR="005C1734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3E063C51" w14:textId="711A51F1" w:rsidR="005C1734" w:rsidRPr="00B31390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31390">
        <w:rPr>
          <w:rFonts w:asciiTheme="majorHAnsi" w:hAnsiTheme="majorHAnsi" w:cstheme="majorHAnsi"/>
          <w:sz w:val="22"/>
          <w:szCs w:val="22"/>
          <w:u w:val="single"/>
        </w:rPr>
        <w:t xml:space="preserve">En tant que maire, comment mettre en application cette interdiction ? </w:t>
      </w:r>
    </w:p>
    <w:p w14:paraId="1044BA95" w14:textId="77777777" w:rsidR="005C1734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7B6A0B9" w14:textId="77777777"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/>
          <w:color w:val="000000"/>
          <w:kern w:val="0"/>
        </w:rPr>
        <w:t>Une démarche graduée est préconisée afin de faire respecter l’interdiction de br</w:t>
      </w:r>
      <w:r>
        <w:rPr>
          <w:rFonts w:asciiTheme="majorHAnsi" w:hAnsiTheme="majorHAnsi" w:cstheme="majorHAnsi"/>
          <w:color w:val="000000"/>
          <w:kern w:val="0"/>
        </w:rPr>
        <w:t>û</w:t>
      </w:r>
      <w:r w:rsidRPr="00B31390">
        <w:rPr>
          <w:rFonts w:asciiTheme="majorHAnsi" w:hAnsiTheme="majorHAnsi" w:cstheme="majorHAnsi"/>
          <w:color w:val="000000"/>
          <w:kern w:val="0"/>
        </w:rPr>
        <w:t>lage a l’air libre :</w:t>
      </w:r>
    </w:p>
    <w:p w14:paraId="7440B4B1" w14:textId="7C8ACEF2"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Informer les citoyens dans chaque commune</w:t>
      </w:r>
      <w:r>
        <w:rPr>
          <w:rFonts w:asciiTheme="majorHAnsi" w:hAnsiTheme="majorHAnsi" w:cstheme="majorHAnsi"/>
          <w:color w:val="000000"/>
          <w:kern w:val="0"/>
        </w:rPr>
        <w:t xml:space="preserve">: </w:t>
      </w:r>
      <w:r w:rsidRPr="00B31390">
        <w:rPr>
          <w:rFonts w:asciiTheme="majorHAnsi" w:hAnsiTheme="majorHAnsi" w:cstheme="majorHAnsi"/>
          <w:color w:val="000000"/>
          <w:kern w:val="0"/>
        </w:rPr>
        <w:t>Cela peut prendre la forme d’un article dans le bulletin municipal,</w:t>
      </w:r>
      <w:r>
        <w:rPr>
          <w:rFonts w:asciiTheme="majorHAnsi" w:hAnsiTheme="majorHAnsi" w:cstheme="majorHAnsi"/>
          <w:color w:val="000000"/>
          <w:kern w:val="0"/>
        </w:rPr>
        <w:t xml:space="preserve"> </w:t>
      </w:r>
      <w:r w:rsidRPr="00B31390">
        <w:rPr>
          <w:rFonts w:asciiTheme="majorHAnsi" w:hAnsiTheme="majorHAnsi" w:cstheme="majorHAnsi"/>
          <w:color w:val="000000"/>
          <w:kern w:val="0"/>
        </w:rPr>
        <w:t>mais aussi d’une plaquette d’information</w:t>
      </w:r>
      <w:r>
        <w:rPr>
          <w:rFonts w:asciiTheme="majorHAnsi" w:hAnsiTheme="majorHAnsi" w:cstheme="majorHAnsi"/>
          <w:color w:val="000000"/>
          <w:kern w:val="0"/>
        </w:rPr>
        <w:t>. Les informations ici présentes peuvent être reprises en tout ou partie dans les bulletins</w:t>
      </w:r>
      <w:r w:rsidR="007A16A2">
        <w:rPr>
          <w:rFonts w:asciiTheme="majorHAnsi" w:hAnsiTheme="majorHAnsi" w:cstheme="majorHAnsi"/>
          <w:color w:val="000000"/>
          <w:kern w:val="0"/>
        </w:rPr>
        <w:t xml:space="preserve"> ou tout autre support de communication</w:t>
      </w:r>
      <w:r>
        <w:rPr>
          <w:rFonts w:asciiTheme="majorHAnsi" w:hAnsiTheme="majorHAnsi" w:cstheme="majorHAnsi"/>
          <w:color w:val="000000"/>
          <w:kern w:val="0"/>
        </w:rPr>
        <w:t>.</w:t>
      </w:r>
    </w:p>
    <w:p w14:paraId="7160E22F" w14:textId="77777777"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Constater: formaliser un rappel </w:t>
      </w:r>
      <w:r>
        <w:rPr>
          <w:rFonts w:asciiTheme="majorHAnsi" w:hAnsiTheme="majorHAnsi" w:cstheme="majorHAnsi"/>
          <w:color w:val="000000"/>
          <w:kern w:val="0"/>
        </w:rPr>
        <w:t>à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la loi en cas de premier constat.</w:t>
      </w:r>
    </w:p>
    <w:p w14:paraId="2CD216E4" w14:textId="77777777" w:rsidR="005C1734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Sanctionner par l’établissement d’une contravention, en cas de récidive après un rappel </w:t>
      </w:r>
      <w:r>
        <w:rPr>
          <w:rFonts w:asciiTheme="majorHAnsi" w:hAnsiTheme="majorHAnsi" w:cstheme="majorHAnsi"/>
          <w:color w:val="000000"/>
          <w:kern w:val="0"/>
        </w:rPr>
        <w:t xml:space="preserve">à </w:t>
      </w:r>
      <w:r w:rsidRPr="00B31390">
        <w:rPr>
          <w:rFonts w:asciiTheme="majorHAnsi" w:hAnsiTheme="majorHAnsi" w:cstheme="majorHAnsi"/>
          <w:color w:val="000000"/>
          <w:kern w:val="0"/>
        </w:rPr>
        <w:t>la loi.</w:t>
      </w:r>
    </w:p>
    <w:p w14:paraId="12C4FF60" w14:textId="77777777" w:rsidR="005C1734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</w:p>
    <w:p w14:paraId="6AA7AF8A" w14:textId="77777777" w:rsidR="005C1734" w:rsidRDefault="005C1734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sectPr w:rsidR="005C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6A85"/>
    <w:multiLevelType w:val="multilevel"/>
    <w:tmpl w:val="7C4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76032"/>
    <w:multiLevelType w:val="hybridMultilevel"/>
    <w:tmpl w:val="3AE2813A"/>
    <w:lvl w:ilvl="0" w:tplc="D51C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7A9"/>
    <w:multiLevelType w:val="hybridMultilevel"/>
    <w:tmpl w:val="00CCD90C"/>
    <w:lvl w:ilvl="0" w:tplc="934A10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F"/>
    <w:rsid w:val="00011E8E"/>
    <w:rsid w:val="00037C8B"/>
    <w:rsid w:val="000B2665"/>
    <w:rsid w:val="00153ACC"/>
    <w:rsid w:val="00206226"/>
    <w:rsid w:val="0022091A"/>
    <w:rsid w:val="00282D12"/>
    <w:rsid w:val="002B3634"/>
    <w:rsid w:val="002C5FF3"/>
    <w:rsid w:val="00567171"/>
    <w:rsid w:val="005C1734"/>
    <w:rsid w:val="007A16A2"/>
    <w:rsid w:val="008860F2"/>
    <w:rsid w:val="008E3433"/>
    <w:rsid w:val="008E5AFD"/>
    <w:rsid w:val="00956762"/>
    <w:rsid w:val="009A3242"/>
    <w:rsid w:val="00A70C74"/>
    <w:rsid w:val="00E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E10"/>
  <w15:chartTrackingRefBased/>
  <w15:docId w15:val="{CA587B26-F4FA-4C04-9CF6-7119C8B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F"/>
    <w:pPr>
      <w:ind w:left="720"/>
      <w:contextualSpacing/>
    </w:pPr>
  </w:style>
  <w:style w:type="paragraph" w:customStyle="1" w:styleId="Default">
    <w:name w:val="Default"/>
    <w:rsid w:val="00EB1A7F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EB1A7F"/>
    <w:rPr>
      <w:b/>
      <w:bCs/>
    </w:rPr>
  </w:style>
  <w:style w:type="character" w:styleId="Lienhypertexte">
    <w:name w:val="Hyperlink"/>
    <w:basedOn w:val="Policepardfaut"/>
    <w:uiPriority w:val="99"/>
    <w:unhideWhenUsed/>
    <w:rsid w:val="00EB1A7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C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eop">
    <w:name w:val="eop"/>
    <w:basedOn w:val="Policepardfaut"/>
    <w:rsid w:val="002C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clum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979307950E141BCF6070C8ED5234E" ma:contentTypeVersion="16" ma:contentTypeDescription="Crée un document." ma:contentTypeScope="" ma:versionID="a7babd981ffd5350858ab1fd38757e81">
  <xsd:schema xmlns:xsd="http://www.w3.org/2001/XMLSchema" xmlns:xs="http://www.w3.org/2001/XMLSchema" xmlns:p="http://schemas.microsoft.com/office/2006/metadata/properties" xmlns:ns2="a0469d39-ff60-4598-bd27-71fd0139b10d" xmlns:ns3="1418a1dc-f410-419e-91c2-26d895d7a1af" targetNamespace="http://schemas.microsoft.com/office/2006/metadata/properties" ma:root="true" ma:fieldsID="5a3a9e682be7c89e735f7c58d72d9528" ns2:_="" ns3:_="">
    <xsd:import namespace="a0469d39-ff60-4598-bd27-71fd0139b10d"/>
    <xsd:import namespace="1418a1dc-f410-419e-91c2-26d895d7a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9d39-ff60-4598-bd27-71fd0139b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44262a0-3374-4213-ba16-ef377591c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a1dc-f410-419e-91c2-26d895d7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81ab4-12d4-45df-8d1f-d9ea3cb517ed}" ma:internalName="TaxCatchAll" ma:showField="CatchAllData" ma:web="1418a1dc-f410-419e-91c2-26d895d7a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07567-FD5E-409B-8E7E-06D07ACB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69d39-ff60-4598-bd27-71fd0139b10d"/>
    <ds:schemaRef ds:uri="1418a1dc-f410-419e-91c2-26d895d7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68DA7-2F06-48DE-B885-93395545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MONRIBOT Sabrina</dc:creator>
  <cp:keywords/>
  <dc:description/>
  <cp:lastModifiedBy>Jean-Jacques PICARD</cp:lastModifiedBy>
  <cp:revision>2</cp:revision>
  <dcterms:created xsi:type="dcterms:W3CDTF">2023-06-16T14:17:00Z</dcterms:created>
  <dcterms:modified xsi:type="dcterms:W3CDTF">2023-06-16T14:17:00Z</dcterms:modified>
</cp:coreProperties>
</file>